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4626B2B4" w:rsidR="00833B11" w:rsidRPr="00246A8E" w:rsidRDefault="00833B11" w:rsidP="00E961CF">
            <w:pPr>
              <w:pStyle w:val="Title"/>
              <w:outlineLvl w:val="0"/>
              <w:rPr>
                <w:rFonts w:cs="Arial"/>
                <w:szCs w:val="20"/>
              </w:rPr>
            </w:pPr>
            <w:r w:rsidRPr="00246A8E">
              <w:rPr>
                <w:rFonts w:cs="Arial"/>
                <w:szCs w:val="20"/>
              </w:rPr>
              <w:t xml:space="preserve">Programul Regional </w:t>
            </w:r>
            <w:r w:rsidR="005D36D2">
              <w:rPr>
                <w:rFonts w:cs="Arial"/>
                <w:szCs w:val="20"/>
              </w:rPr>
              <w:t xml:space="preserve">Sud-Muntenia </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F7DD393" w:rsidR="00833B11" w:rsidRPr="00246A8E" w:rsidRDefault="00D93360" w:rsidP="00D93360">
            <w:pPr>
              <w:pStyle w:val="Title"/>
              <w:jc w:val="left"/>
              <w:outlineLvl w:val="0"/>
              <w:rPr>
                <w:rFonts w:cs="Arial"/>
                <w:szCs w:val="20"/>
              </w:rPr>
            </w:pPr>
            <w:r w:rsidRPr="008E4661">
              <w:rPr>
                <w:iCs/>
              </w:rPr>
              <w:t>5 - O regiune educată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510523CA" w:rsidR="00833B11" w:rsidRPr="00391823" w:rsidRDefault="00D93360" w:rsidP="00D93360">
            <w:pPr>
              <w:pStyle w:val="Title"/>
              <w:tabs>
                <w:tab w:val="left" w:pos="1215"/>
              </w:tabs>
              <w:jc w:val="left"/>
              <w:outlineLvl w:val="0"/>
              <w:rPr>
                <w:rFonts w:cs="Arial"/>
                <w:szCs w:val="20"/>
                <w:lang w:val="it-IT"/>
              </w:rPr>
            </w:pPr>
            <w:r w:rsidRPr="008E4661">
              <w:rPr>
                <w:iCs/>
              </w:rPr>
              <w:t xml:space="preserve">4.2 - </w:t>
            </w:r>
            <w:r w:rsidRPr="00E42FF8">
              <w:rPr>
                <w:iCs/>
              </w:rPr>
              <w:t>Îmbunătățirea accesului la servicii și</w:t>
            </w:r>
            <w:r>
              <w:rPr>
                <w:iCs/>
              </w:rPr>
              <w:t xml:space="preserve"> </w:t>
            </w:r>
            <w:r w:rsidRPr="00E42FF8">
              <w:rPr>
                <w:iCs/>
              </w:rPr>
              <w:t>favorabile incluziunii și de calitate în educație,</w:t>
            </w:r>
            <w:r>
              <w:rPr>
                <w:iCs/>
              </w:rPr>
              <w:t xml:space="preserve"> </w:t>
            </w:r>
            <w:r w:rsidRPr="00E42FF8">
              <w:rPr>
                <w:iCs/>
              </w:rPr>
              <w:t>formare și învățare pe tot parcursul vieții prin</w:t>
            </w:r>
            <w:r>
              <w:rPr>
                <w:iCs/>
              </w:rPr>
              <w:t xml:space="preserve"> </w:t>
            </w:r>
            <w:r w:rsidRPr="00E42FF8">
              <w:rPr>
                <w:iCs/>
              </w:rPr>
              <w:t>dezvoltarea</w:t>
            </w:r>
            <w:r>
              <w:rPr>
                <w:iCs/>
              </w:rPr>
              <w:t xml:space="preserve"> </w:t>
            </w:r>
            <w:r w:rsidRPr="00E42FF8">
              <w:rPr>
                <w:iCs/>
              </w:rPr>
              <w:t>infrastructurii accesibile, inclusiv prin</w:t>
            </w:r>
            <w:r>
              <w:rPr>
                <w:iCs/>
              </w:rPr>
              <w:t xml:space="preserve"> </w:t>
            </w:r>
            <w:r w:rsidRPr="00E42FF8">
              <w:rPr>
                <w:iCs/>
              </w:rPr>
              <w:t>promovarea rezilienței pentru educația și formarea</w:t>
            </w:r>
            <w:r>
              <w:rPr>
                <w:iCs/>
              </w:rPr>
              <w:t xml:space="preserve"> </w:t>
            </w:r>
            <w:r w:rsidRPr="00E42FF8">
              <w:rPr>
                <w:iCs/>
              </w:rPr>
              <w:t>la distanță și online</w:t>
            </w:r>
            <w:r w:rsidRPr="008E4661">
              <w:rPr>
                <w:iCs/>
              </w:rPr>
              <w:t xml:space="preserve"> (FEDR</w:t>
            </w:r>
            <w:r>
              <w:rPr>
                <w:iCs/>
              </w:rPr>
              <w:t>).</w:t>
            </w:r>
          </w:p>
        </w:tc>
      </w:tr>
      <w:tr w:rsidR="00D93360" w:rsidRPr="00246A8E" w14:paraId="64FF3614" w14:textId="77777777" w:rsidTr="00E961CF">
        <w:tc>
          <w:tcPr>
            <w:tcW w:w="2694" w:type="dxa"/>
            <w:shd w:val="clear" w:color="auto" w:fill="auto"/>
          </w:tcPr>
          <w:p w14:paraId="3DDDD4B4" w14:textId="4966ED51" w:rsidR="00D93360" w:rsidRPr="00246A8E" w:rsidRDefault="00D93360" w:rsidP="00E961CF">
            <w:pPr>
              <w:pStyle w:val="Title"/>
              <w:jc w:val="both"/>
              <w:outlineLvl w:val="0"/>
              <w:rPr>
                <w:rFonts w:cs="Arial"/>
                <w:b w:val="0"/>
                <w:szCs w:val="20"/>
              </w:rPr>
            </w:pPr>
            <w:r w:rsidRPr="008E4661">
              <w:rPr>
                <w:iCs/>
              </w:rPr>
              <w:t>Operațiunea</w:t>
            </w:r>
          </w:p>
        </w:tc>
        <w:tc>
          <w:tcPr>
            <w:tcW w:w="7092" w:type="dxa"/>
            <w:shd w:val="clear" w:color="auto" w:fill="auto"/>
          </w:tcPr>
          <w:p w14:paraId="63543DF8" w14:textId="62BEE29D" w:rsidR="00B617D7" w:rsidRPr="00B617D7" w:rsidRDefault="00B617D7" w:rsidP="00B617D7">
            <w:pPr>
              <w:pStyle w:val="Title"/>
              <w:tabs>
                <w:tab w:val="left" w:pos="1215"/>
              </w:tabs>
              <w:jc w:val="left"/>
              <w:outlineLvl w:val="0"/>
              <w:rPr>
                <w:iCs/>
              </w:rPr>
            </w:pPr>
            <w:r w:rsidRPr="00B617D7">
              <w:rPr>
                <w:iCs/>
              </w:rPr>
              <w:t xml:space="preserve"> B – Sprijin acordat învățământului primar și secundar pentru îmbunătățirea accesului egal la servicii de calitate și incluzive în educație, inclusiv prin promovarea rezilienței pentru educația și formarea la distanță și online</w:t>
            </w:r>
          </w:p>
          <w:p w14:paraId="0235CCD2" w14:textId="5496036A" w:rsidR="00D93360" w:rsidRDefault="00D93360" w:rsidP="00B617D7">
            <w:pPr>
              <w:pStyle w:val="Title"/>
              <w:tabs>
                <w:tab w:val="left" w:pos="1215"/>
              </w:tabs>
              <w:jc w:val="left"/>
              <w:outlineLvl w:val="0"/>
              <w:rPr>
                <w:rFonts w:cs="Arial"/>
                <w:szCs w:val="20"/>
                <w:lang w:val="it-IT"/>
              </w:rPr>
            </w:pPr>
          </w:p>
        </w:tc>
      </w:tr>
      <w:tr w:rsidR="00B617D7" w:rsidRPr="00246A8E" w14:paraId="6D9F1C02" w14:textId="77777777" w:rsidTr="00E961CF">
        <w:tc>
          <w:tcPr>
            <w:tcW w:w="2694" w:type="dxa"/>
            <w:shd w:val="clear" w:color="auto" w:fill="auto"/>
          </w:tcPr>
          <w:p w14:paraId="3D244D25" w14:textId="1A0DCC62" w:rsidR="00B617D7" w:rsidRPr="008E4661" w:rsidRDefault="00B617D7" w:rsidP="00E961CF">
            <w:pPr>
              <w:pStyle w:val="Title"/>
              <w:jc w:val="both"/>
              <w:outlineLvl w:val="0"/>
              <w:rPr>
                <w:iCs/>
              </w:rPr>
            </w:pPr>
            <w:r w:rsidRPr="00B617D7">
              <w:rPr>
                <w:iCs/>
              </w:rPr>
              <w:t>Apel de proiecte:</w:t>
            </w:r>
          </w:p>
        </w:tc>
        <w:tc>
          <w:tcPr>
            <w:tcW w:w="7092" w:type="dxa"/>
            <w:shd w:val="clear" w:color="auto" w:fill="auto"/>
          </w:tcPr>
          <w:p w14:paraId="34B061A7" w14:textId="2A117594" w:rsidR="00B617D7" w:rsidRPr="008E4661" w:rsidRDefault="00B617D7" w:rsidP="00D93360">
            <w:pPr>
              <w:pStyle w:val="Title"/>
              <w:tabs>
                <w:tab w:val="left" w:pos="1215"/>
              </w:tabs>
              <w:jc w:val="left"/>
              <w:outlineLvl w:val="0"/>
              <w:rPr>
                <w:iCs/>
              </w:rPr>
            </w:pPr>
            <w:r w:rsidRPr="00B617D7">
              <w:rPr>
                <w:iCs/>
              </w:rPr>
              <w:t>PRSM/310/PRSM_P5/OP4/RSO4.2/PRSM_A23</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 xml:space="preserve">În cazul în care plansele au fost anexate la cererea de finantare în format scanat, dupa ce au fost semnate și ștampilate de elaboratori: este prezentă semnatura si stampila tuturor persoanelor </w:t>
            </w:r>
            <w:r w:rsidRPr="000A75FF">
              <w:rPr>
                <w:rFonts w:ascii="Trebuchet MS" w:hAnsi="Trebuchet MS" w:cs="Arial"/>
                <w:sz w:val="20"/>
                <w:szCs w:val="20"/>
              </w:rPr>
              <w:lastRenderedPageBreak/>
              <w:t>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0A75FF">
              <w:rPr>
                <w:rFonts w:ascii="Trebuchet MS" w:hAnsi="Trebuchet MS" w:cs="Arial"/>
                <w:sz w:val="20"/>
                <w:szCs w:val="20"/>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r w:rsidRPr="00C31B63">
              <w:rPr>
                <w:rFonts w:ascii="Trebuchet MS" w:hAnsi="Trebuchet MS"/>
                <w:color w:val="auto"/>
                <w:sz w:val="20"/>
                <w:szCs w:val="20"/>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lastRenderedPageBreak/>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8920FC">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6E7C7" w14:textId="77777777" w:rsidR="008920FC" w:rsidRDefault="008920FC" w:rsidP="00391823">
      <w:r>
        <w:separator/>
      </w:r>
    </w:p>
  </w:endnote>
  <w:endnote w:type="continuationSeparator" w:id="0">
    <w:p w14:paraId="308AEA54" w14:textId="77777777" w:rsidR="008920FC" w:rsidRDefault="008920FC"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71474EAE" w:rsidR="002375BC" w:rsidRDefault="00D93360">
    <w:pPr>
      <w:pStyle w:val="Footer"/>
    </w:pPr>
    <w:r>
      <w:rPr>
        <w:noProof/>
      </w:rPr>
      <w:drawing>
        <wp:inline distT="0" distB="0" distL="0" distR="0" wp14:anchorId="0830EC59" wp14:editId="6EF9693D">
          <wp:extent cx="5852795" cy="450850"/>
          <wp:effectExtent l="0" t="0" r="0" b="6350"/>
          <wp:docPr id="8617915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795" cy="45085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29CA72DB" w:rsidR="00D4166D" w:rsidRDefault="00D4166D">
    <w:pPr>
      <w:pStyle w:val="Footer"/>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38FAA" w14:textId="77777777" w:rsidR="008920FC" w:rsidRDefault="008920FC" w:rsidP="00391823">
      <w:r>
        <w:separator/>
      </w:r>
    </w:p>
  </w:footnote>
  <w:footnote w:type="continuationSeparator" w:id="0">
    <w:p w14:paraId="6E54E9D5" w14:textId="77777777" w:rsidR="008920FC" w:rsidRDefault="008920FC"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26EC"/>
    <w:rsid w:val="000A75FF"/>
    <w:rsid w:val="000A7EEC"/>
    <w:rsid w:val="000C1837"/>
    <w:rsid w:val="000C7527"/>
    <w:rsid w:val="000D00B6"/>
    <w:rsid w:val="00110BE0"/>
    <w:rsid w:val="002015EE"/>
    <w:rsid w:val="002375BC"/>
    <w:rsid w:val="00246A8E"/>
    <w:rsid w:val="00354097"/>
    <w:rsid w:val="00374807"/>
    <w:rsid w:val="00391823"/>
    <w:rsid w:val="00394868"/>
    <w:rsid w:val="00395C6E"/>
    <w:rsid w:val="003C0AAA"/>
    <w:rsid w:val="004F44BC"/>
    <w:rsid w:val="0058256C"/>
    <w:rsid w:val="005D36D2"/>
    <w:rsid w:val="005F4522"/>
    <w:rsid w:val="005F5374"/>
    <w:rsid w:val="006139FA"/>
    <w:rsid w:val="00614FC2"/>
    <w:rsid w:val="006372BB"/>
    <w:rsid w:val="00722A9B"/>
    <w:rsid w:val="00730217"/>
    <w:rsid w:val="007760A8"/>
    <w:rsid w:val="007A6E6F"/>
    <w:rsid w:val="007B57BE"/>
    <w:rsid w:val="00833B11"/>
    <w:rsid w:val="008368F2"/>
    <w:rsid w:val="0086101F"/>
    <w:rsid w:val="008920FC"/>
    <w:rsid w:val="008C7345"/>
    <w:rsid w:val="00952D04"/>
    <w:rsid w:val="0098468A"/>
    <w:rsid w:val="009F3E79"/>
    <w:rsid w:val="00AA191F"/>
    <w:rsid w:val="00AE352C"/>
    <w:rsid w:val="00AF09E5"/>
    <w:rsid w:val="00B617D7"/>
    <w:rsid w:val="00B739B5"/>
    <w:rsid w:val="00C31B63"/>
    <w:rsid w:val="00C51BE2"/>
    <w:rsid w:val="00C92D7C"/>
    <w:rsid w:val="00CD271B"/>
    <w:rsid w:val="00D4166D"/>
    <w:rsid w:val="00D636A3"/>
    <w:rsid w:val="00D93360"/>
    <w:rsid w:val="00E25C0E"/>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2461</Words>
  <Characters>14030</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7</cp:revision>
  <cp:lastPrinted>2024-04-04T11:56:00Z</cp:lastPrinted>
  <dcterms:created xsi:type="dcterms:W3CDTF">2023-08-02T13:04:00Z</dcterms:created>
  <dcterms:modified xsi:type="dcterms:W3CDTF">2024-04-04T11:57:00Z</dcterms:modified>
</cp:coreProperties>
</file>